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0F55EB" w:rsidRPr="00950A63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2DFC82D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Exploring chapter 1 – how does Watson fulfil the role of frame narrator?</w:t>
            </w:r>
          </w:p>
        </w:tc>
        <w:tc>
          <w:tcPr>
            <w:tcW w:w="1843" w:type="dxa"/>
          </w:tcPr>
          <w:p w14:paraId="053688F0" w14:textId="256832E7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 w:val="restart"/>
          </w:tcPr>
          <w:p w14:paraId="10F9FAFE" w14:textId="67D22C50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deduction</w:t>
            </w:r>
          </w:p>
          <w:p w14:paraId="56143033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51B67A8" w14:textId="58BC97B0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antagonistic</w:t>
            </w:r>
          </w:p>
          <w:p w14:paraId="4B142C1A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C6E0993" w14:textId="5F89F8A1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suspense</w:t>
            </w:r>
          </w:p>
          <w:p w14:paraId="19693F38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106C8C1" w14:textId="5FECC5B3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tragedy</w:t>
            </w:r>
          </w:p>
          <w:p w14:paraId="3BB87836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D4143E4" w14:textId="75AAFCFD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symbolism</w:t>
            </w:r>
          </w:p>
          <w:p w14:paraId="29362774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9343425" w14:textId="2EE884AA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investigation</w:t>
            </w:r>
          </w:p>
          <w:p w14:paraId="607645E8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7C74D78" w14:textId="1D9461BD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demonstration</w:t>
            </w:r>
          </w:p>
          <w:p w14:paraId="188A6850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D36A4A5" w14:textId="3464C29A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analyse</w:t>
            </w:r>
          </w:p>
          <w:p w14:paraId="290353ED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705A41B" w14:textId="10D07ACA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evaluate</w:t>
            </w:r>
          </w:p>
          <w:p w14:paraId="3D1ACC61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89ED5D4" w14:textId="7FB77BF1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holistic</w:t>
            </w:r>
          </w:p>
          <w:p w14:paraId="7AAE7BB2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C4C8C7D" w14:textId="481F7A95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ironic</w:t>
            </w:r>
          </w:p>
          <w:p w14:paraId="41AB8AE6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F212CBF" w14:textId="12CC4624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transferrable</w:t>
            </w:r>
          </w:p>
          <w:p w14:paraId="2DBE0607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EB9EE5F" w14:textId="6CFC7FC1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independent</w:t>
            </w:r>
          </w:p>
          <w:p w14:paraId="29B3F5E7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221B00A" w14:textId="6DF9F835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crucial</w:t>
            </w:r>
          </w:p>
          <w:p w14:paraId="68B22503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F715AC2" w14:textId="77ED6114" w:rsidR="000F55EB" w:rsidRPr="008961B8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ingenuity</w:t>
            </w:r>
          </w:p>
        </w:tc>
      </w:tr>
      <w:tr w:rsidR="000F55EB" w:rsidRPr="00950A63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777777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692F5CA9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Exploring chapter 2 – Mary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Morstan’s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role. </w:t>
            </w:r>
          </w:p>
        </w:tc>
        <w:tc>
          <w:tcPr>
            <w:tcW w:w="1843" w:type="dxa"/>
          </w:tcPr>
          <w:p w14:paraId="40038EEB" w14:textId="2BCC47BB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38E9CA5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625B51AA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3128311" w14:textId="1C26E98A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Understanding context and how this links to the text.</w:t>
            </w:r>
          </w:p>
        </w:tc>
        <w:tc>
          <w:tcPr>
            <w:tcW w:w="1843" w:type="dxa"/>
          </w:tcPr>
          <w:p w14:paraId="383AECC2" w14:textId="57AEEF4D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47999030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2381681A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2872EBE5" w14:textId="3B788CC0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Exploring chapter 3 – how is pathetic fallacy used?</w:t>
            </w:r>
          </w:p>
        </w:tc>
        <w:tc>
          <w:tcPr>
            <w:tcW w:w="1843" w:type="dxa"/>
          </w:tcPr>
          <w:p w14:paraId="5BD06B29" w14:textId="0594EE27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5ABDBDC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3B69ABBE" w14:textId="77777777" w:rsidTr="000F55EB">
        <w:trPr>
          <w:trHeight w:val="357"/>
        </w:trPr>
        <w:tc>
          <w:tcPr>
            <w:tcW w:w="832" w:type="dxa"/>
          </w:tcPr>
          <w:p w14:paraId="39CD5ECE" w14:textId="6722DADD" w:rsidR="000F55EB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5&amp;6</w:t>
            </w:r>
          </w:p>
          <w:p w14:paraId="62DD1A37" w14:textId="6937D249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074818E9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Exploring and analysing some of the main themes in the novella so far and making contextual links.</w:t>
            </w:r>
          </w:p>
        </w:tc>
        <w:tc>
          <w:tcPr>
            <w:tcW w:w="1843" w:type="dxa"/>
          </w:tcPr>
          <w:p w14:paraId="57A5F0F5" w14:textId="08ED99D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1419C365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37FFE297" w14:textId="77777777" w:rsidTr="000F55EB">
        <w:trPr>
          <w:trHeight w:val="357"/>
        </w:trPr>
        <w:tc>
          <w:tcPr>
            <w:tcW w:w="832" w:type="dxa"/>
          </w:tcPr>
          <w:p w14:paraId="5FEE7EC0" w14:textId="08A1A741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3B1F307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Exploring and understanding chapter 4. </w:t>
            </w:r>
          </w:p>
        </w:tc>
        <w:tc>
          <w:tcPr>
            <w:tcW w:w="1843" w:type="dxa"/>
          </w:tcPr>
          <w:p w14:paraId="0E4E4197" w14:textId="4052FAA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B36FFCA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41824510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8&amp;9</w:t>
            </w:r>
          </w:p>
        </w:tc>
        <w:tc>
          <w:tcPr>
            <w:tcW w:w="4111" w:type="dxa"/>
            <w:shd w:val="clear" w:color="auto" w:fill="auto"/>
          </w:tcPr>
          <w:p w14:paraId="3C64B144" w14:textId="5D39D520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setting important? What is the setting like in chapter 5? </w:t>
            </w:r>
          </w:p>
        </w:tc>
        <w:tc>
          <w:tcPr>
            <w:tcW w:w="1843" w:type="dxa"/>
            <w:shd w:val="clear" w:color="auto" w:fill="auto"/>
          </w:tcPr>
          <w:p w14:paraId="7DF15058" w14:textId="2CB970D5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2DA44D96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1C2BEE01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79279089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111" w:type="dxa"/>
            <w:shd w:val="clear" w:color="auto" w:fill="auto"/>
          </w:tcPr>
          <w:p w14:paraId="2BB1C48A" w14:textId="32FEB10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Extended writing preparation. Extended writing on Holmes. GCSE question.  </w:t>
            </w:r>
          </w:p>
        </w:tc>
        <w:tc>
          <w:tcPr>
            <w:tcW w:w="1843" w:type="dxa"/>
            <w:shd w:val="clear" w:color="auto" w:fill="auto"/>
          </w:tcPr>
          <w:p w14:paraId="5DCD9E13" w14:textId="1737899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864" w:type="dxa"/>
            <w:vMerge/>
          </w:tcPr>
          <w:p w14:paraId="343624BB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68E6CB75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C566E8F" w14:textId="737FBF6B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7ADC47C0" w14:textId="3058CEA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Group presentations on the characters.</w:t>
            </w:r>
          </w:p>
        </w:tc>
        <w:tc>
          <w:tcPr>
            <w:tcW w:w="1843" w:type="dxa"/>
            <w:shd w:val="clear" w:color="auto" w:fill="auto"/>
          </w:tcPr>
          <w:p w14:paraId="6FB98EDA" w14:textId="2C9CFD1F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work.</w:t>
            </w:r>
          </w:p>
        </w:tc>
        <w:tc>
          <w:tcPr>
            <w:tcW w:w="1864" w:type="dxa"/>
            <w:vMerge/>
          </w:tcPr>
          <w:p w14:paraId="3CAA3602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57AE5CB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13&amp;14</w:t>
            </w:r>
          </w:p>
        </w:tc>
        <w:tc>
          <w:tcPr>
            <w:tcW w:w="4111" w:type="dxa"/>
          </w:tcPr>
          <w:p w14:paraId="30A0FDAA" w14:textId="5D0C1962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Analyse how the plot develops in chapters 7&amp;8.</w:t>
            </w:r>
          </w:p>
        </w:tc>
        <w:tc>
          <w:tcPr>
            <w:tcW w:w="1843" w:type="dxa"/>
          </w:tcPr>
          <w:p w14:paraId="2B302D2A" w14:textId="395F3E6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724165E4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351C0E2B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729DBA4F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15&amp;16</w:t>
            </w:r>
          </w:p>
        </w:tc>
        <w:tc>
          <w:tcPr>
            <w:tcW w:w="4111" w:type="dxa"/>
            <w:shd w:val="clear" w:color="auto" w:fill="auto"/>
          </w:tcPr>
          <w:p w14:paraId="2D4CE878" w14:textId="30F91B5D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Summarising different texts – Language p2 link.</w:t>
            </w:r>
          </w:p>
        </w:tc>
        <w:tc>
          <w:tcPr>
            <w:tcW w:w="1843" w:type="dxa"/>
            <w:shd w:val="clear" w:color="auto" w:fill="auto"/>
          </w:tcPr>
          <w:p w14:paraId="7A7EFDCF" w14:textId="3CDBFEA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74DBF392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69BCA254" w14:textId="77777777" w:rsidTr="000F55EB">
        <w:trPr>
          <w:trHeight w:val="357"/>
        </w:trPr>
        <w:tc>
          <w:tcPr>
            <w:tcW w:w="832" w:type="dxa"/>
          </w:tcPr>
          <w:p w14:paraId="10585147" w14:textId="56C0D315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2732D97A" w14:textId="3D450705" w:rsidR="000F55EB" w:rsidRPr="005B4FDE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Analyse the roles of the characters in the novella. </w:t>
            </w:r>
          </w:p>
        </w:tc>
        <w:tc>
          <w:tcPr>
            <w:tcW w:w="1843" w:type="dxa"/>
          </w:tcPr>
          <w:p w14:paraId="64CDD823" w14:textId="420EC229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47E9A71B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7041749A" w14:textId="77777777" w:rsidTr="000F55EB">
        <w:trPr>
          <w:trHeight w:val="357"/>
        </w:trPr>
        <w:tc>
          <w:tcPr>
            <w:tcW w:w="832" w:type="dxa"/>
          </w:tcPr>
          <w:p w14:paraId="04AC6376" w14:textId="40AB177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64704B68" w14:textId="3300C16D" w:rsidR="000F55EB" w:rsidRPr="005B4FDE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is chapter 10? </w:t>
            </w:r>
          </w:p>
        </w:tc>
        <w:tc>
          <w:tcPr>
            <w:tcW w:w="1843" w:type="dxa"/>
          </w:tcPr>
          <w:p w14:paraId="4309AEB2" w14:textId="797E263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57FBB4D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417200C9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6B5C7E95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19&amp;20</w:t>
            </w:r>
          </w:p>
        </w:tc>
        <w:tc>
          <w:tcPr>
            <w:tcW w:w="4111" w:type="dxa"/>
            <w:shd w:val="clear" w:color="auto" w:fill="auto"/>
          </w:tcPr>
          <w:p w14:paraId="612EF9F4" w14:textId="0623A214" w:rsidR="000F55EB" w:rsidRPr="002A1513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PEEEC chains – assessment preparation</w:t>
            </w:r>
          </w:p>
        </w:tc>
        <w:tc>
          <w:tcPr>
            <w:tcW w:w="1843" w:type="dxa"/>
            <w:shd w:val="clear" w:color="auto" w:fill="auto"/>
          </w:tcPr>
          <w:p w14:paraId="6237EDA4" w14:textId="5D62D85D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16A48AEA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018F21F7" w14:textId="77777777" w:rsidTr="000F55EB">
        <w:trPr>
          <w:trHeight w:val="357"/>
        </w:trPr>
        <w:tc>
          <w:tcPr>
            <w:tcW w:w="832" w:type="dxa"/>
          </w:tcPr>
          <w:p w14:paraId="4D94E753" w14:textId="4BDE02B2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647B3FDB" w14:textId="76364901" w:rsidR="000F55EB" w:rsidRPr="002A1513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end of the novel. Assessment prep. </w:t>
            </w:r>
          </w:p>
        </w:tc>
        <w:tc>
          <w:tcPr>
            <w:tcW w:w="1843" w:type="dxa"/>
          </w:tcPr>
          <w:p w14:paraId="674D9331" w14:textId="516B9615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2614A874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53CBADE7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6B16C091" w14:textId="67E9A4C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22&amp;23</w:t>
            </w:r>
          </w:p>
        </w:tc>
        <w:tc>
          <w:tcPr>
            <w:tcW w:w="4111" w:type="dxa"/>
            <w:shd w:val="clear" w:color="auto" w:fill="auto"/>
          </w:tcPr>
          <w:p w14:paraId="62E67196" w14:textId="21D3C322" w:rsidR="000F55EB" w:rsidRPr="00124EDD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practice and feedback.</w:t>
            </w:r>
          </w:p>
        </w:tc>
        <w:tc>
          <w:tcPr>
            <w:tcW w:w="1843" w:type="dxa"/>
            <w:shd w:val="clear" w:color="auto" w:fill="auto"/>
          </w:tcPr>
          <w:p w14:paraId="3DA07710" w14:textId="492D6F09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5004660C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26C7B8D1" w14:textId="77777777" w:rsidTr="000F55EB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0FB8C44" w14:textId="1751B382" w:rsidR="000F55EB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D40F408" w14:textId="6245A91D" w:rsidR="000F55EB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FDE9CE4" w14:textId="7AB36783" w:rsidR="000F55EB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864" w:type="dxa"/>
            <w:vMerge/>
          </w:tcPr>
          <w:p w14:paraId="6A35A354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31175BF4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78DA85A0" w:rsidR="004D74D4" w:rsidRPr="00587FE5" w:rsidRDefault="00950A63" w:rsidP="00D66E50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D66E5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10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 Autumn 1</w:t>
                            </w:r>
                          </w:p>
                          <w:p w14:paraId="32485635" w14:textId="3C41E5A6" w:rsidR="00AF5EB7" w:rsidRPr="00587FE5" w:rsidRDefault="00AF5EB7" w:rsidP="00D66E50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The 19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Century Novel – </w:t>
                            </w:r>
                            <w:r w:rsidR="00D66E5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The Sign of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" fillcolor="#92d050">
                <v:textbox>
                  <w:txbxContent>
                    <w:p w14:paraId="58BE09AF" w14:textId="78DA85A0" w:rsidR="004D74D4" w:rsidRPr="00587FE5" w:rsidRDefault="00950A63" w:rsidP="00D66E50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D66E50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10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Unit: Autumn 1</w:t>
                      </w:r>
                    </w:p>
                    <w:p w14:paraId="32485635" w14:textId="3C41E5A6" w:rsidR="00AF5EB7" w:rsidRPr="00587FE5" w:rsidRDefault="00AF5EB7" w:rsidP="00D66E50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The 19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Century Novel – </w:t>
                      </w:r>
                      <w:r w:rsidR="00D66E50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The Sign of Four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77777777" w:rsidR="00A527D9" w:rsidRPr="0063293F" w:rsidRDefault="00A527D9" w:rsidP="00A527D9">
            <w:pPr>
              <w:ind w:left="360"/>
            </w:pPr>
            <w:r w:rsidRPr="0063293F">
              <w:t xml:space="preserve">Show </w:t>
            </w:r>
            <w:proofErr w:type="gramStart"/>
            <w:r w:rsidRPr="0063293F">
              <w:t>an</w:t>
            </w:r>
            <w:proofErr w:type="gramEnd"/>
            <w:r w:rsidRPr="0063293F">
              <w:t xml:space="preserve">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0F55EB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87FE5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10D11"/>
    <w:rsid w:val="00751F94"/>
    <w:rsid w:val="00755ED2"/>
    <w:rsid w:val="007D507E"/>
    <w:rsid w:val="008961B8"/>
    <w:rsid w:val="00897A90"/>
    <w:rsid w:val="008C5990"/>
    <w:rsid w:val="008E3DFD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E19D3"/>
    <w:rsid w:val="00C64332"/>
    <w:rsid w:val="00C659AB"/>
    <w:rsid w:val="00C968A8"/>
    <w:rsid w:val="00CC771A"/>
    <w:rsid w:val="00D66E50"/>
    <w:rsid w:val="00D830EE"/>
    <w:rsid w:val="00D929BD"/>
    <w:rsid w:val="00DD0AA6"/>
    <w:rsid w:val="00E26141"/>
    <w:rsid w:val="00E31E88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73B0F-E61D-4B84-B999-8A5F7C7FC4FA}"/>
</file>

<file path=customXml/itemProps2.xml><?xml version="1.0" encoding="utf-8"?>
<ds:datastoreItem xmlns:ds="http://schemas.openxmlformats.org/officeDocument/2006/customXml" ds:itemID="{61C8B8B3-47A5-4518-B307-84C6F4EB0249}"/>
</file>

<file path=customXml/itemProps3.xml><?xml version="1.0" encoding="utf-8"?>
<ds:datastoreItem xmlns:ds="http://schemas.openxmlformats.org/officeDocument/2006/customXml" ds:itemID="{490E606E-D312-424D-9B16-6310F90C6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2020-05-22T13:37:00Z</dcterms:created>
  <dcterms:modified xsi:type="dcterms:W3CDTF">2020-05-22T13:37:00Z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